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D47" w:rsidRPr="001B46DD" w:rsidRDefault="00715C95" w:rsidP="00715C95">
      <w:pPr>
        <w:spacing w:after="0" w:line="240" w:lineRule="auto"/>
        <w:ind w:left="-709" w:right="-142"/>
        <w:contextualSpacing/>
        <w:jc w:val="center"/>
        <w:rPr>
          <w:b/>
          <w:color w:val="2D2256"/>
          <w:sz w:val="48"/>
          <w:szCs w:val="48"/>
          <w:u w:val="single"/>
        </w:rPr>
      </w:pPr>
      <w:r w:rsidRPr="001B46DD">
        <w:rPr>
          <w:b/>
          <w:color w:val="2D2256"/>
          <w:sz w:val="48"/>
          <w:szCs w:val="48"/>
          <w:u w:val="single"/>
        </w:rPr>
        <w:t>Agenda ARBA</w:t>
      </w:r>
    </w:p>
    <w:p w:rsidR="005F2A44" w:rsidRPr="00AA7D60" w:rsidRDefault="005F2A44" w:rsidP="00ED6526">
      <w:pPr>
        <w:spacing w:after="0" w:line="240" w:lineRule="auto"/>
        <w:ind w:right="-142"/>
        <w:contextualSpacing/>
        <w:rPr>
          <w:rFonts w:ascii="Open Sans" w:hAnsi="Open Sans"/>
          <w:b/>
          <w:color w:val="2D2256"/>
          <w:sz w:val="48"/>
          <w:szCs w:val="48"/>
        </w:rPr>
      </w:pPr>
    </w:p>
    <w:p w:rsidR="00715C95" w:rsidRPr="001B46DD" w:rsidRDefault="00715C95" w:rsidP="00715C95">
      <w:pPr>
        <w:pStyle w:val="Prrafodelista"/>
        <w:numPr>
          <w:ilvl w:val="0"/>
          <w:numId w:val="25"/>
        </w:numPr>
        <w:rPr>
          <w:rFonts w:cs="Arial"/>
          <w:b/>
          <w:sz w:val="24"/>
          <w:szCs w:val="24"/>
        </w:rPr>
      </w:pPr>
      <w:r w:rsidRPr="001B46DD">
        <w:rPr>
          <w:rFonts w:cs="Arial"/>
          <w:b/>
          <w:sz w:val="24"/>
          <w:szCs w:val="24"/>
        </w:rPr>
        <w:t>Actualización del monto de facturación anual para dejar fuera a las pymes</w:t>
      </w:r>
    </w:p>
    <w:p w:rsidR="00715C95" w:rsidRPr="001B46DD" w:rsidRDefault="00715C95" w:rsidP="00715C95">
      <w:pPr>
        <w:jc w:val="both"/>
        <w:rPr>
          <w:rFonts w:cs="Arial"/>
          <w:sz w:val="24"/>
          <w:szCs w:val="24"/>
        </w:rPr>
      </w:pPr>
      <w:r w:rsidRPr="001B46DD">
        <w:rPr>
          <w:rFonts w:cs="Arial"/>
          <w:sz w:val="24"/>
          <w:szCs w:val="24"/>
        </w:rPr>
        <w:t>Para actuar como Agentes de Retención y Percepción del Impuesto sobre los Ingresos Brutos, actual</w:t>
      </w:r>
      <w:r w:rsidR="00A00C4B">
        <w:rPr>
          <w:rFonts w:cs="Arial"/>
          <w:sz w:val="24"/>
          <w:szCs w:val="24"/>
        </w:rPr>
        <w:t>mente se encuentra fijado en $ 3</w:t>
      </w:r>
      <w:r w:rsidRPr="001B46DD">
        <w:rPr>
          <w:rFonts w:cs="Arial"/>
          <w:sz w:val="24"/>
          <w:szCs w:val="24"/>
        </w:rPr>
        <w:t xml:space="preserve">0 MM. </w:t>
      </w:r>
    </w:p>
    <w:p w:rsidR="00715C95" w:rsidRPr="001B46DD" w:rsidRDefault="00715C95" w:rsidP="00715C95">
      <w:pPr>
        <w:rPr>
          <w:rFonts w:cs="Arial"/>
          <w:sz w:val="24"/>
          <w:szCs w:val="24"/>
        </w:rPr>
      </w:pPr>
      <w:r w:rsidRPr="001B46DD">
        <w:rPr>
          <w:rFonts w:cs="Arial"/>
          <w:sz w:val="24"/>
          <w:szCs w:val="24"/>
        </w:rPr>
        <w:t xml:space="preserve">Adicionalmente debería considerarse una actualización de los montos mínimos   por operación a partir de los cuales se efectúa la retención o percepción.  </w:t>
      </w:r>
    </w:p>
    <w:p w:rsidR="00715C95" w:rsidRPr="001B46DD" w:rsidRDefault="00715C95" w:rsidP="00715C95">
      <w:pPr>
        <w:pStyle w:val="Prrafodelista"/>
        <w:numPr>
          <w:ilvl w:val="0"/>
          <w:numId w:val="25"/>
        </w:numPr>
        <w:rPr>
          <w:rFonts w:cs="Arial"/>
          <w:b/>
          <w:sz w:val="24"/>
          <w:szCs w:val="24"/>
        </w:rPr>
      </w:pPr>
      <w:r w:rsidRPr="001B46DD">
        <w:rPr>
          <w:rFonts w:cs="Arial"/>
          <w:b/>
          <w:sz w:val="24"/>
          <w:szCs w:val="24"/>
        </w:rPr>
        <w:t xml:space="preserve">Solicitud de reducción o atenuación de alícuotas </w:t>
      </w:r>
    </w:p>
    <w:p w:rsidR="00715C95" w:rsidRPr="001B46DD" w:rsidRDefault="00715C95" w:rsidP="00715C95">
      <w:pPr>
        <w:jc w:val="both"/>
        <w:rPr>
          <w:rFonts w:cs="Arial"/>
          <w:sz w:val="24"/>
          <w:szCs w:val="24"/>
        </w:rPr>
      </w:pPr>
      <w:r w:rsidRPr="001B46DD">
        <w:rPr>
          <w:rFonts w:cs="Arial"/>
          <w:sz w:val="24"/>
          <w:szCs w:val="24"/>
        </w:rPr>
        <w:t xml:space="preserve">Mecanismo más flexible  para la solicitud de reducción o atenuación de alícuotas de retención y percepción para evitar recurrentes saldos a favor. Actualmente solo se otorgan atenuaciones </w:t>
      </w:r>
    </w:p>
    <w:p w:rsidR="00715C95" w:rsidRPr="001B46DD" w:rsidRDefault="00715C95" w:rsidP="00715C95">
      <w:pPr>
        <w:pStyle w:val="Prrafodelista"/>
        <w:numPr>
          <w:ilvl w:val="0"/>
          <w:numId w:val="25"/>
        </w:numPr>
        <w:rPr>
          <w:rFonts w:cs="Arial"/>
          <w:b/>
          <w:sz w:val="24"/>
          <w:szCs w:val="24"/>
        </w:rPr>
      </w:pPr>
      <w:r w:rsidRPr="001B46DD">
        <w:rPr>
          <w:rFonts w:cs="Arial"/>
          <w:b/>
          <w:sz w:val="24"/>
          <w:szCs w:val="24"/>
        </w:rPr>
        <w:t>Problemática de Saldos a favor</w:t>
      </w:r>
    </w:p>
    <w:p w:rsidR="00715C95" w:rsidRPr="001B46DD" w:rsidRDefault="00715C95" w:rsidP="00715C95">
      <w:pPr>
        <w:jc w:val="both"/>
        <w:rPr>
          <w:rFonts w:cs="Arial"/>
          <w:sz w:val="24"/>
          <w:szCs w:val="24"/>
        </w:rPr>
      </w:pPr>
      <w:r w:rsidRPr="001B46DD">
        <w:rPr>
          <w:rFonts w:cs="Arial"/>
          <w:sz w:val="24"/>
          <w:szCs w:val="24"/>
        </w:rPr>
        <w:t>La aplicación de regímenes de recaudación en el Impuesto sobre los Ingresos Brutos genera importantes saldos a favor, cuya utilización se dilata en el tiempo. Podría implementarse un mecanismo mediante el cual puedan ser aplicados al pago de otros gravámenes recaudados por la Provincia, abonados por el mismo contribuyente.</w:t>
      </w:r>
    </w:p>
    <w:p w:rsidR="00715C95" w:rsidRPr="001B46DD" w:rsidRDefault="00715C95" w:rsidP="00715C95">
      <w:pPr>
        <w:jc w:val="both"/>
        <w:rPr>
          <w:rFonts w:cs="Arial"/>
          <w:sz w:val="24"/>
          <w:szCs w:val="24"/>
        </w:rPr>
      </w:pPr>
      <w:r w:rsidRPr="001B46DD">
        <w:rPr>
          <w:rFonts w:cs="Arial"/>
          <w:sz w:val="24"/>
          <w:szCs w:val="24"/>
        </w:rPr>
        <w:t>También podría legislarse su transferencia a terceros, para lo cual debería establecerse un procedimiento que le acuerde certeza a estas transacciones</w:t>
      </w:r>
    </w:p>
    <w:p w:rsidR="00715C95" w:rsidRPr="001B46DD" w:rsidRDefault="00715C95" w:rsidP="00715C95">
      <w:pPr>
        <w:pStyle w:val="Prrafodelista"/>
        <w:numPr>
          <w:ilvl w:val="0"/>
          <w:numId w:val="25"/>
        </w:numPr>
        <w:jc w:val="both"/>
        <w:rPr>
          <w:rFonts w:cs="Arial"/>
          <w:b/>
          <w:sz w:val="24"/>
          <w:szCs w:val="24"/>
        </w:rPr>
      </w:pPr>
      <w:r w:rsidRPr="001B46DD">
        <w:rPr>
          <w:rFonts w:cs="Arial"/>
          <w:b/>
          <w:sz w:val="24"/>
          <w:szCs w:val="24"/>
        </w:rPr>
        <w:t xml:space="preserve">Cobro </w:t>
      </w:r>
      <w:proofErr w:type="spellStart"/>
      <w:r w:rsidRPr="001B46DD">
        <w:rPr>
          <w:rFonts w:cs="Arial"/>
          <w:b/>
          <w:sz w:val="24"/>
          <w:szCs w:val="24"/>
        </w:rPr>
        <w:t>uniletaral</w:t>
      </w:r>
      <w:proofErr w:type="spellEnd"/>
      <w:r w:rsidRPr="001B46DD">
        <w:rPr>
          <w:rFonts w:cs="Arial"/>
          <w:b/>
          <w:sz w:val="24"/>
          <w:szCs w:val="24"/>
        </w:rPr>
        <w:t xml:space="preserve"> de Saldos Deudores sin notificar al contribuyen</w:t>
      </w:r>
      <w:r w:rsidR="009975BC">
        <w:rPr>
          <w:rFonts w:cs="Arial"/>
          <w:b/>
          <w:sz w:val="24"/>
          <w:szCs w:val="24"/>
        </w:rPr>
        <w:t>te y sin posibilidad de defensa</w:t>
      </w:r>
    </w:p>
    <w:p w:rsidR="00715C95" w:rsidRPr="001B46DD" w:rsidRDefault="00715C95" w:rsidP="00715C95">
      <w:pPr>
        <w:jc w:val="both"/>
        <w:rPr>
          <w:rFonts w:cs="Arial"/>
          <w:sz w:val="24"/>
          <w:szCs w:val="24"/>
        </w:rPr>
      </w:pPr>
      <w:r w:rsidRPr="001B46DD">
        <w:rPr>
          <w:rFonts w:cs="Arial"/>
          <w:sz w:val="24"/>
          <w:szCs w:val="24"/>
        </w:rPr>
        <w:t>Se detectaron caso</w:t>
      </w:r>
      <w:r w:rsidR="009975BC">
        <w:rPr>
          <w:rFonts w:cs="Arial"/>
          <w:sz w:val="24"/>
          <w:szCs w:val="24"/>
        </w:rPr>
        <w:t>s</w:t>
      </w:r>
      <w:r w:rsidRPr="001B46DD">
        <w:rPr>
          <w:rFonts w:cs="Arial"/>
          <w:sz w:val="24"/>
          <w:szCs w:val="24"/>
        </w:rPr>
        <w:t xml:space="preserve"> de contribuyentes que recibieron notificaciones de deudas con ARBA cuando estaban declarando saldo a favor. Cuando recurrieron a ARBA se les informe que el saldo a favor había sido consumido por la existencia de saldos anteriores y su actualización. Los contribuyentes no fueron notificados de la existencia de estos saldos y por tanto no tuvieron posibilidad de defensa ni de rectificar los pagos. La propuesta de UIPBA es la creación de un sistema de validación de saldos a favor (como es el caso de AFIP) y la notificación fehaciente en el momento que ARBA realice estas operaciones para aplicar los saldos anteriores al saldo a favor del contribuyente. </w:t>
      </w:r>
    </w:p>
    <w:p w:rsidR="00715C95" w:rsidRPr="001B46DD" w:rsidRDefault="00715C95" w:rsidP="00715C95">
      <w:pPr>
        <w:jc w:val="both"/>
        <w:rPr>
          <w:rFonts w:cs="Arial"/>
          <w:sz w:val="24"/>
          <w:szCs w:val="24"/>
        </w:rPr>
      </w:pPr>
    </w:p>
    <w:p w:rsidR="00715C95" w:rsidRPr="001B46DD" w:rsidRDefault="00715C95" w:rsidP="00715C95">
      <w:pPr>
        <w:pStyle w:val="Prrafodelista"/>
        <w:numPr>
          <w:ilvl w:val="0"/>
          <w:numId w:val="25"/>
        </w:numPr>
        <w:jc w:val="both"/>
        <w:rPr>
          <w:rFonts w:cs="Arial"/>
          <w:b/>
          <w:sz w:val="24"/>
          <w:szCs w:val="24"/>
        </w:rPr>
      </w:pPr>
      <w:r w:rsidRPr="001B46DD">
        <w:rPr>
          <w:rFonts w:cs="Arial"/>
          <w:b/>
          <w:sz w:val="24"/>
          <w:szCs w:val="24"/>
        </w:rPr>
        <w:t>Posibilidad de aplicar el pago de tasa municipales como pago a cuenta en impuestos provinciales (en santa fe existe esta posibilidad).</w:t>
      </w:r>
    </w:p>
    <w:p w:rsidR="00715C95" w:rsidRPr="001B46DD" w:rsidRDefault="00715C95" w:rsidP="00715C95">
      <w:pPr>
        <w:pStyle w:val="Prrafodelista"/>
        <w:numPr>
          <w:ilvl w:val="0"/>
          <w:numId w:val="25"/>
        </w:numPr>
        <w:jc w:val="both"/>
        <w:rPr>
          <w:rFonts w:cs="Arial"/>
          <w:b/>
          <w:sz w:val="24"/>
          <w:szCs w:val="24"/>
        </w:rPr>
      </w:pPr>
      <w:r w:rsidRPr="001B46DD">
        <w:rPr>
          <w:rFonts w:cs="Arial"/>
          <w:b/>
          <w:sz w:val="24"/>
          <w:szCs w:val="24"/>
        </w:rPr>
        <w:t>Planes de pago más flexibles: </w:t>
      </w:r>
    </w:p>
    <w:p w:rsidR="00715C95" w:rsidRPr="001B46DD" w:rsidRDefault="00715C95" w:rsidP="00715C95">
      <w:pPr>
        <w:numPr>
          <w:ilvl w:val="0"/>
          <w:numId w:val="26"/>
        </w:numPr>
        <w:shd w:val="clear" w:color="auto" w:fill="FFFFFF"/>
        <w:spacing w:after="0" w:line="240" w:lineRule="auto"/>
        <w:rPr>
          <w:rFonts w:eastAsia="Times New Roman" w:cs="Arial"/>
          <w:color w:val="222222"/>
          <w:sz w:val="24"/>
          <w:szCs w:val="24"/>
          <w:lang w:eastAsia="es-AR"/>
        </w:rPr>
      </w:pPr>
      <w:r w:rsidRPr="001B46DD">
        <w:rPr>
          <w:rFonts w:eastAsia="Times New Roman" w:cs="Arial"/>
          <w:color w:val="222222"/>
          <w:sz w:val="24"/>
          <w:szCs w:val="24"/>
          <w:lang w:eastAsia="es-AR"/>
        </w:rPr>
        <w:lastRenderedPageBreak/>
        <w:t>Posibilidad de pagar por debito automático (como en AFIP).</w:t>
      </w:r>
    </w:p>
    <w:p w:rsidR="00715C95" w:rsidRPr="001B46DD" w:rsidRDefault="00715C95" w:rsidP="00715C95">
      <w:pPr>
        <w:numPr>
          <w:ilvl w:val="0"/>
          <w:numId w:val="26"/>
        </w:numPr>
        <w:shd w:val="clear" w:color="auto" w:fill="FFFFFF"/>
        <w:spacing w:after="0" w:line="240" w:lineRule="auto"/>
        <w:jc w:val="both"/>
        <w:rPr>
          <w:rFonts w:eastAsia="Times New Roman" w:cs="Arial"/>
          <w:color w:val="222222"/>
          <w:sz w:val="24"/>
          <w:szCs w:val="24"/>
          <w:lang w:eastAsia="es-AR"/>
        </w:rPr>
      </w:pPr>
      <w:r w:rsidRPr="001B46DD">
        <w:rPr>
          <w:rFonts w:eastAsia="Times New Roman" w:cs="Arial"/>
          <w:color w:val="222222"/>
          <w:sz w:val="24"/>
          <w:szCs w:val="24"/>
          <w:lang w:eastAsia="es-AR"/>
        </w:rPr>
        <w:t>Agilización de los sistemas de pagos eliminando la responsabilidad del contribuyente de informar el pago y la impresión de cupones de pago por cuota uno por uno desde la página de ARBA.</w:t>
      </w:r>
    </w:p>
    <w:p w:rsidR="00715C95" w:rsidRPr="001B46DD" w:rsidRDefault="00715C95" w:rsidP="00715C95">
      <w:pPr>
        <w:shd w:val="clear" w:color="auto" w:fill="FFFFFF"/>
        <w:spacing w:after="0" w:line="240" w:lineRule="auto"/>
        <w:ind w:left="720"/>
        <w:rPr>
          <w:rFonts w:eastAsia="Times New Roman" w:cs="Arial"/>
          <w:color w:val="222222"/>
          <w:sz w:val="24"/>
          <w:szCs w:val="24"/>
          <w:lang w:eastAsia="es-AR"/>
        </w:rPr>
      </w:pPr>
    </w:p>
    <w:p w:rsidR="00715C95" w:rsidRPr="001B46DD" w:rsidRDefault="00715C95" w:rsidP="00715C95">
      <w:pPr>
        <w:pStyle w:val="Prrafodelista"/>
        <w:numPr>
          <w:ilvl w:val="0"/>
          <w:numId w:val="25"/>
        </w:numPr>
        <w:jc w:val="both"/>
        <w:rPr>
          <w:rFonts w:cs="Arial"/>
          <w:b/>
          <w:sz w:val="24"/>
          <w:szCs w:val="24"/>
        </w:rPr>
      </w:pPr>
      <w:r w:rsidRPr="001B46DD">
        <w:rPr>
          <w:rFonts w:cs="Arial"/>
          <w:b/>
          <w:sz w:val="24"/>
          <w:szCs w:val="24"/>
        </w:rPr>
        <w:t> Unificación de fechas de vencimiento para presentación de deducciones y liquidación del impuesto.</w:t>
      </w:r>
    </w:p>
    <w:p w:rsidR="00715C95" w:rsidRPr="001B46DD" w:rsidRDefault="00715C95" w:rsidP="00715C95">
      <w:pPr>
        <w:numPr>
          <w:ilvl w:val="0"/>
          <w:numId w:val="26"/>
        </w:numPr>
        <w:shd w:val="clear" w:color="auto" w:fill="FFFFFF"/>
        <w:spacing w:after="0" w:line="240" w:lineRule="auto"/>
        <w:jc w:val="both"/>
        <w:rPr>
          <w:rFonts w:eastAsia="Times New Roman" w:cs="Arial"/>
          <w:color w:val="222222"/>
          <w:sz w:val="24"/>
          <w:szCs w:val="24"/>
          <w:lang w:eastAsia="es-AR"/>
        </w:rPr>
      </w:pPr>
      <w:r w:rsidRPr="001B46DD">
        <w:rPr>
          <w:rFonts w:eastAsia="Times New Roman" w:cs="Arial"/>
          <w:color w:val="222222"/>
          <w:sz w:val="24"/>
          <w:szCs w:val="24"/>
          <w:lang w:eastAsia="es-AR"/>
        </w:rPr>
        <w:t>Actualmente quedan deducciones sin aplicar por que la fecha de vencimiento para su presentación es anterior a  la fecha de vencimiento del impuesto.</w:t>
      </w:r>
    </w:p>
    <w:p w:rsidR="00715C95" w:rsidRPr="001B46DD" w:rsidRDefault="00715C95" w:rsidP="00715C95">
      <w:pPr>
        <w:shd w:val="clear" w:color="auto" w:fill="FFFFFF"/>
        <w:spacing w:after="0" w:line="240" w:lineRule="auto"/>
        <w:ind w:left="360"/>
        <w:rPr>
          <w:rFonts w:eastAsia="Times New Roman" w:cs="Arial"/>
          <w:color w:val="222222"/>
          <w:sz w:val="24"/>
          <w:szCs w:val="24"/>
          <w:lang w:eastAsia="es-AR"/>
        </w:rPr>
      </w:pPr>
    </w:p>
    <w:p w:rsidR="00715C95" w:rsidRPr="001B46DD" w:rsidRDefault="009975BC" w:rsidP="00715C95">
      <w:pPr>
        <w:pStyle w:val="Prrafodelista"/>
        <w:numPr>
          <w:ilvl w:val="0"/>
          <w:numId w:val="25"/>
        </w:numPr>
        <w:jc w:val="both"/>
        <w:rPr>
          <w:rFonts w:cs="Arial"/>
          <w:b/>
          <w:sz w:val="24"/>
          <w:szCs w:val="24"/>
        </w:rPr>
      </w:pPr>
      <w:r>
        <w:rPr>
          <w:rFonts w:cs="Arial"/>
          <w:b/>
          <w:sz w:val="24"/>
          <w:szCs w:val="24"/>
        </w:rPr>
        <w:t>Posibilidad de aplicar s</w:t>
      </w:r>
      <w:r w:rsidR="00715C95" w:rsidRPr="001B46DD">
        <w:rPr>
          <w:rFonts w:cs="Arial"/>
          <w:b/>
          <w:sz w:val="24"/>
          <w:szCs w:val="24"/>
        </w:rPr>
        <w:t xml:space="preserve">aldos a favor en el pago de multas por presentaciones fuera </w:t>
      </w:r>
      <w:r>
        <w:rPr>
          <w:rFonts w:cs="Arial"/>
          <w:b/>
          <w:sz w:val="24"/>
          <w:szCs w:val="24"/>
        </w:rPr>
        <w:t>de té</w:t>
      </w:r>
      <w:r w:rsidR="00715C95" w:rsidRPr="001B46DD">
        <w:rPr>
          <w:rFonts w:cs="Arial"/>
          <w:b/>
          <w:sz w:val="24"/>
          <w:szCs w:val="24"/>
        </w:rPr>
        <w:t>rmino y no presentación.</w:t>
      </w:r>
    </w:p>
    <w:p w:rsidR="00715C95" w:rsidRPr="001B46DD" w:rsidRDefault="00715C95" w:rsidP="00715C95">
      <w:pPr>
        <w:numPr>
          <w:ilvl w:val="0"/>
          <w:numId w:val="26"/>
        </w:numPr>
        <w:shd w:val="clear" w:color="auto" w:fill="FFFFFF"/>
        <w:spacing w:after="0" w:line="240" w:lineRule="auto"/>
        <w:jc w:val="both"/>
        <w:rPr>
          <w:rFonts w:eastAsia="Times New Roman" w:cs="Arial"/>
          <w:color w:val="222222"/>
          <w:sz w:val="24"/>
          <w:szCs w:val="24"/>
          <w:lang w:eastAsia="es-AR"/>
        </w:rPr>
      </w:pPr>
      <w:r w:rsidRPr="001B46DD">
        <w:rPr>
          <w:rFonts w:eastAsia="Times New Roman" w:cs="Arial"/>
          <w:color w:val="222222"/>
          <w:sz w:val="24"/>
          <w:szCs w:val="24"/>
          <w:lang w:eastAsia="es-AR"/>
        </w:rPr>
        <w:t>Actualmente no se puede aplicar el saldo a favor al pago de las multas, es decir el contribuyente tiene que pagar la multa a pesar de tener saldo a favor en el gravamen.</w:t>
      </w:r>
    </w:p>
    <w:p w:rsidR="00715C95" w:rsidRPr="001B46DD" w:rsidRDefault="00715C95" w:rsidP="00715C95">
      <w:pPr>
        <w:shd w:val="clear" w:color="auto" w:fill="FFFFFF"/>
        <w:spacing w:after="0" w:line="240" w:lineRule="auto"/>
        <w:ind w:left="720"/>
        <w:rPr>
          <w:rFonts w:eastAsia="Times New Roman" w:cs="Arial"/>
          <w:color w:val="222222"/>
          <w:sz w:val="24"/>
          <w:szCs w:val="24"/>
          <w:lang w:eastAsia="es-AR"/>
        </w:rPr>
      </w:pPr>
    </w:p>
    <w:p w:rsidR="00715C95" w:rsidRPr="001B46DD" w:rsidRDefault="00351044" w:rsidP="00715C95">
      <w:pPr>
        <w:pStyle w:val="Prrafodelista"/>
        <w:numPr>
          <w:ilvl w:val="0"/>
          <w:numId w:val="25"/>
        </w:numPr>
        <w:jc w:val="both"/>
        <w:rPr>
          <w:rFonts w:cs="Arial"/>
          <w:b/>
          <w:sz w:val="24"/>
          <w:szCs w:val="24"/>
        </w:rPr>
      </w:pPr>
      <w:r>
        <w:rPr>
          <w:rFonts w:cs="Arial"/>
          <w:b/>
          <w:sz w:val="24"/>
          <w:szCs w:val="24"/>
        </w:rPr>
        <w:t>Embargos</w:t>
      </w:r>
    </w:p>
    <w:p w:rsidR="00715C95" w:rsidRDefault="00351044" w:rsidP="00715C95">
      <w:pPr>
        <w:numPr>
          <w:ilvl w:val="0"/>
          <w:numId w:val="26"/>
        </w:numPr>
        <w:shd w:val="clear" w:color="auto" w:fill="FFFFFF"/>
        <w:spacing w:after="0" w:line="240" w:lineRule="auto"/>
        <w:jc w:val="both"/>
        <w:rPr>
          <w:rFonts w:eastAsia="Times New Roman" w:cs="Arial"/>
          <w:color w:val="222222"/>
          <w:sz w:val="24"/>
          <w:szCs w:val="24"/>
          <w:lang w:eastAsia="es-AR"/>
        </w:rPr>
      </w:pPr>
      <w:r>
        <w:rPr>
          <w:rFonts w:eastAsia="Times New Roman" w:cs="Arial"/>
          <w:color w:val="222222"/>
          <w:sz w:val="24"/>
          <w:szCs w:val="24"/>
          <w:lang w:eastAsia="es-AR"/>
        </w:rPr>
        <w:t xml:space="preserve">Embargos vía proveedores: </w:t>
      </w:r>
      <w:r w:rsidR="00715C95" w:rsidRPr="001B46DD">
        <w:rPr>
          <w:rFonts w:eastAsia="Times New Roman" w:cs="Arial"/>
          <w:color w:val="222222"/>
          <w:sz w:val="24"/>
          <w:szCs w:val="24"/>
          <w:lang w:eastAsia="es-AR"/>
        </w:rPr>
        <w:t>Cuando Arba traba un embargo el proveedor debe retentarle el pago, dicho sistema es muy difícil de aplicar y complica la operatoria de las empresas.</w:t>
      </w:r>
    </w:p>
    <w:p w:rsidR="00351044" w:rsidRPr="001B46DD" w:rsidRDefault="00351044" w:rsidP="00715C95">
      <w:pPr>
        <w:numPr>
          <w:ilvl w:val="0"/>
          <w:numId w:val="26"/>
        </w:numPr>
        <w:shd w:val="clear" w:color="auto" w:fill="FFFFFF"/>
        <w:spacing w:after="0" w:line="240" w:lineRule="auto"/>
        <w:jc w:val="both"/>
        <w:rPr>
          <w:rFonts w:eastAsia="Times New Roman" w:cs="Arial"/>
          <w:color w:val="222222"/>
          <w:sz w:val="24"/>
          <w:szCs w:val="24"/>
          <w:lang w:eastAsia="es-AR"/>
        </w:rPr>
      </w:pPr>
      <w:r>
        <w:rPr>
          <w:rFonts w:eastAsia="Times New Roman" w:cs="Arial"/>
          <w:color w:val="222222"/>
          <w:sz w:val="24"/>
          <w:szCs w:val="24"/>
          <w:lang w:eastAsia="es-AR"/>
        </w:rPr>
        <w:t>Ver de aplicar sistema similar al de AFIP para que no se embarguen la totalidad de las cuentas.</w:t>
      </w:r>
    </w:p>
    <w:p w:rsidR="00715C95" w:rsidRPr="001B46DD" w:rsidRDefault="00715C95" w:rsidP="00715C95">
      <w:pPr>
        <w:pStyle w:val="Prrafodelista"/>
        <w:ind w:left="360"/>
        <w:jc w:val="both"/>
        <w:rPr>
          <w:rFonts w:cs="Arial"/>
          <w:b/>
          <w:sz w:val="24"/>
          <w:szCs w:val="24"/>
        </w:rPr>
      </w:pPr>
    </w:p>
    <w:p w:rsidR="00715C95" w:rsidRPr="001B46DD" w:rsidRDefault="00715C95" w:rsidP="00715C95">
      <w:pPr>
        <w:pStyle w:val="Prrafodelista"/>
        <w:numPr>
          <w:ilvl w:val="0"/>
          <w:numId w:val="25"/>
        </w:numPr>
        <w:jc w:val="both"/>
        <w:rPr>
          <w:rFonts w:cs="Arial"/>
          <w:b/>
          <w:sz w:val="24"/>
          <w:szCs w:val="24"/>
        </w:rPr>
      </w:pPr>
      <w:r w:rsidRPr="001B46DD">
        <w:rPr>
          <w:rFonts w:cs="Arial"/>
          <w:b/>
          <w:sz w:val="24"/>
          <w:szCs w:val="24"/>
        </w:rPr>
        <w:t>Avanzar en el mediano plazo a un régimen único de retención de ingresos brutos.</w:t>
      </w:r>
    </w:p>
    <w:p w:rsidR="001B46DD" w:rsidRPr="00715C95" w:rsidRDefault="001B46DD" w:rsidP="001B46DD">
      <w:pPr>
        <w:pStyle w:val="Prrafodelista"/>
        <w:ind w:left="360"/>
        <w:jc w:val="both"/>
        <w:rPr>
          <w:rFonts w:ascii="OPENS Sa" w:hAnsi="OPENS Sa" w:cs="Arial"/>
          <w:b/>
        </w:rPr>
      </w:pPr>
    </w:p>
    <w:p w:rsidR="00A27BD9" w:rsidRPr="000C20EF" w:rsidRDefault="00A27BD9" w:rsidP="005F2A44">
      <w:pPr>
        <w:tabs>
          <w:tab w:val="left" w:pos="2400"/>
        </w:tabs>
        <w:ind w:right="-142"/>
        <w:rPr>
          <w:sz w:val="24"/>
          <w:szCs w:val="24"/>
        </w:rPr>
      </w:pPr>
    </w:p>
    <w:sectPr w:rsidR="00A27BD9" w:rsidRPr="000C20EF" w:rsidSect="0032632A">
      <w:headerReference w:type="even" r:id="rId8"/>
      <w:headerReference w:type="default" r:id="rId9"/>
      <w:footerReference w:type="even" r:id="rId10"/>
      <w:footerReference w:type="default" r:id="rId11"/>
      <w:headerReference w:type="first" r:id="rId12"/>
      <w:footerReference w:type="first" r:id="rId13"/>
      <w:pgSz w:w="11906" w:h="16838"/>
      <w:pgMar w:top="2234" w:right="1133" w:bottom="1417" w:left="1701" w:header="0"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C41" w:rsidRDefault="00155C41" w:rsidP="00A03842">
      <w:pPr>
        <w:spacing w:after="0" w:line="240" w:lineRule="auto"/>
      </w:pPr>
      <w:r>
        <w:separator/>
      </w:r>
    </w:p>
  </w:endnote>
  <w:endnote w:type="continuationSeparator" w:id="0">
    <w:p w:rsidR="00155C41" w:rsidRDefault="00155C41" w:rsidP="00A038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游明朝">
    <w:panose1 w:val="00000000000000000000"/>
    <w:charset w:val="80"/>
    <w:family w:val="roman"/>
    <w:notTrueType/>
    <w:pitch w:val="default"/>
    <w:sig w:usb0="00000000" w:usb1="00000000" w:usb2="00000000" w:usb3="00000000" w:csb0="00000000" w:csb1="00000000"/>
  </w:font>
  <w:font w:name="Times">
    <w:panose1 w:val="02020603050405020304"/>
    <w:charset w:val="00"/>
    <w:family w:val="auto"/>
    <w:pitch w:val="variable"/>
    <w:sig w:usb0="00000003" w:usb1="00000000" w:usb2="00000000" w:usb3="00000000" w:csb0="00000001" w:csb1="00000000"/>
  </w:font>
  <w:font w:name="Open Sans">
    <w:altName w:val="Tahoma"/>
    <w:charset w:val="00"/>
    <w:family w:val="auto"/>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OPENS Sa">
    <w:altName w:val="Times New Roman"/>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E3" w:rsidRDefault="009C1EE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3D9" w:rsidRPr="00140C21" w:rsidRDefault="00A643D9">
    <w:pPr>
      <w:pStyle w:val="Piedepgina"/>
      <w:jc w:val="center"/>
      <w:rPr>
        <w:rFonts w:ascii="Open Sans" w:hAnsi="Open Sans"/>
        <w:color w:val="B6B6B6"/>
        <w:sz w:val="18"/>
        <w:szCs w:val="18"/>
      </w:rPr>
    </w:pPr>
  </w:p>
  <w:p w:rsidR="00140C21" w:rsidRPr="00715C95" w:rsidRDefault="00140C21" w:rsidP="00140C21">
    <w:pPr>
      <w:pStyle w:val="Piedepgina"/>
      <w:tabs>
        <w:tab w:val="right" w:pos="9214"/>
      </w:tabs>
      <w:ind w:left="-851" w:right="-568"/>
      <w:jc w:val="center"/>
      <w:rPr>
        <w:rFonts w:ascii="Open Sans" w:hAnsi="Open Sans"/>
        <w:color w:val="7F7F7F" w:themeColor="text1" w:themeTint="80"/>
        <w:sz w:val="18"/>
        <w:szCs w:val="18"/>
        <w:lang w:val="en-US"/>
      </w:rPr>
    </w:pPr>
    <w:r w:rsidRPr="00140C21">
      <w:rPr>
        <w:rFonts w:ascii="Open Sans" w:hAnsi="Open Sans"/>
        <w:color w:val="7F7F7F" w:themeColor="text1" w:themeTint="80"/>
        <w:sz w:val="18"/>
        <w:szCs w:val="18"/>
      </w:rPr>
      <w:t xml:space="preserve">Av. Córdoba 363 - Piso 1o  -  C1054AAC C.A.B.A.  </w:t>
    </w:r>
    <w:r w:rsidRPr="00715C95">
      <w:rPr>
        <w:rFonts w:ascii="Open Sans" w:hAnsi="Open Sans"/>
        <w:color w:val="7F7F7F" w:themeColor="text1" w:themeTint="80"/>
        <w:sz w:val="18"/>
        <w:szCs w:val="18"/>
        <w:lang w:val="en-US"/>
      </w:rPr>
      <w:t>-  T: (011) 4312-</w:t>
    </w:r>
    <w:proofErr w:type="gramStart"/>
    <w:r w:rsidRPr="00715C95">
      <w:rPr>
        <w:rFonts w:ascii="Open Sans" w:hAnsi="Open Sans"/>
        <w:color w:val="7F7F7F" w:themeColor="text1" w:themeTint="80"/>
        <w:sz w:val="18"/>
        <w:szCs w:val="18"/>
        <w:lang w:val="en-US"/>
      </w:rPr>
      <w:t>9154  -</w:t>
    </w:r>
    <w:proofErr w:type="gramEnd"/>
    <w:r w:rsidRPr="00715C95">
      <w:rPr>
        <w:rFonts w:ascii="Open Sans" w:hAnsi="Open Sans"/>
        <w:color w:val="7F7F7F" w:themeColor="text1" w:themeTint="80"/>
        <w:sz w:val="18"/>
        <w:szCs w:val="18"/>
        <w:lang w:val="en-US"/>
      </w:rPr>
      <w:t xml:space="preserve">  F: (011) 4312-5425</w:t>
    </w:r>
  </w:p>
  <w:p w:rsidR="00A643D9" w:rsidRPr="00715C95" w:rsidRDefault="00140C21" w:rsidP="00ED6526">
    <w:pPr>
      <w:pStyle w:val="Piedepgina"/>
      <w:tabs>
        <w:tab w:val="clear" w:pos="8504"/>
        <w:tab w:val="right" w:pos="9214"/>
      </w:tabs>
      <w:ind w:left="-851" w:right="-568"/>
      <w:jc w:val="center"/>
      <w:rPr>
        <w:rFonts w:ascii="Open Sans" w:hAnsi="Open Sans"/>
        <w:b/>
        <w:color w:val="0E6EB9"/>
        <w:sz w:val="18"/>
        <w:szCs w:val="18"/>
        <w:lang w:val="en-US"/>
      </w:rPr>
    </w:pPr>
    <w:proofErr w:type="gramStart"/>
    <w:r w:rsidRPr="00715C95">
      <w:rPr>
        <w:rFonts w:ascii="Open Sans" w:hAnsi="Open Sans"/>
        <w:b/>
        <w:color w:val="0E6EB9"/>
        <w:sz w:val="18"/>
        <w:szCs w:val="18"/>
        <w:lang w:val="en-US"/>
      </w:rPr>
      <w:t>uipba@uipba.</w:t>
    </w:r>
    <w:r w:rsidR="00ED6526" w:rsidRPr="00715C95">
      <w:rPr>
        <w:rFonts w:ascii="Open Sans" w:hAnsi="Open Sans"/>
        <w:b/>
        <w:color w:val="0E6EB9"/>
        <w:sz w:val="18"/>
        <w:szCs w:val="18"/>
        <w:lang w:val="en-US"/>
      </w:rPr>
      <w:t>org</w:t>
    </w:r>
    <w:r w:rsidRPr="00715C95">
      <w:rPr>
        <w:rFonts w:ascii="Open Sans" w:hAnsi="Open Sans"/>
        <w:b/>
        <w:color w:val="0E6EB9"/>
        <w:sz w:val="18"/>
        <w:szCs w:val="18"/>
        <w:lang w:val="en-US"/>
      </w:rPr>
      <w:t>.ar  -</w:t>
    </w:r>
    <w:proofErr w:type="gramEnd"/>
    <w:r w:rsidRPr="00715C95">
      <w:rPr>
        <w:rFonts w:ascii="Open Sans" w:hAnsi="Open Sans"/>
        <w:b/>
        <w:color w:val="0E6EB9"/>
        <w:sz w:val="18"/>
        <w:szCs w:val="18"/>
        <w:lang w:val="en-US"/>
      </w:rPr>
      <w:t xml:space="preserve">  </w:t>
    </w:r>
    <w:hyperlink r:id="rId1" w:history="1">
      <w:r w:rsidR="00ED6526" w:rsidRPr="00715C95">
        <w:rPr>
          <w:rStyle w:val="Hipervnculo"/>
          <w:rFonts w:ascii="Open Sans" w:hAnsi="Open Sans"/>
          <w:b/>
          <w:sz w:val="18"/>
          <w:szCs w:val="18"/>
          <w:u w:val="none"/>
          <w:lang w:val="en-US"/>
        </w:rPr>
        <w:t>www.uipba.org</w:t>
      </w:r>
    </w:hyperlink>
    <w:r w:rsidRPr="00715C95">
      <w:rPr>
        <w:rFonts w:ascii="Open Sans" w:hAnsi="Open Sans"/>
        <w:b/>
        <w:color w:val="0E6EB9"/>
        <w:sz w:val="18"/>
        <w:szCs w:val="18"/>
        <w:lang w:val="en-US"/>
      </w:rPr>
      <w:t>.ar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E3" w:rsidRDefault="009C1EE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C41" w:rsidRDefault="00155C41" w:rsidP="00A03842">
      <w:pPr>
        <w:spacing w:after="0" w:line="240" w:lineRule="auto"/>
      </w:pPr>
      <w:r>
        <w:separator/>
      </w:r>
    </w:p>
  </w:footnote>
  <w:footnote w:type="continuationSeparator" w:id="0">
    <w:p w:rsidR="00155C41" w:rsidRDefault="00155C41" w:rsidP="00A038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E3" w:rsidRDefault="009C1EE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3D9" w:rsidRPr="00EF4854" w:rsidRDefault="009C1EE3" w:rsidP="006A0455">
    <w:pPr>
      <w:ind w:left="-1701" w:right="-852"/>
      <w:jc w:val="center"/>
      <w:rPr>
        <w:noProof/>
        <w:lang w:val="en-US"/>
      </w:rPr>
    </w:pPr>
    <w:r>
      <w:rPr>
        <w:noProof/>
        <w:lang w:eastAsia="es-AR"/>
      </w:rPr>
      <w:drawing>
        <wp:inline distT="0" distB="0" distL="0" distR="0">
          <wp:extent cx="7603265" cy="1532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603279" cy="1532893"/>
                  </a:xfrm>
                  <a:prstGeom prst="rect">
                    <a:avLst/>
                  </a:prstGeom>
                </pic:spPr>
              </pic:pic>
            </a:graphicData>
          </a:graphic>
        </wp:inline>
      </w:drawing>
    </w: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E3" w:rsidRDefault="009C1EE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2BC"/>
    <w:multiLevelType w:val="hybridMultilevel"/>
    <w:tmpl w:val="10D4F2DC"/>
    <w:lvl w:ilvl="0" w:tplc="599AE078">
      <w:numFmt w:val="bullet"/>
      <w:lvlText w:val="-"/>
      <w:lvlJc w:val="left"/>
      <w:pPr>
        <w:ind w:left="1770" w:hanging="360"/>
      </w:pPr>
      <w:rPr>
        <w:rFonts w:ascii="Calibri" w:eastAsiaTheme="minorHAnsi" w:hAnsi="Calibri" w:cstheme="minorBidi" w:hint="default"/>
      </w:rPr>
    </w:lvl>
    <w:lvl w:ilvl="1" w:tplc="2C0A0003" w:tentative="1">
      <w:start w:val="1"/>
      <w:numFmt w:val="bullet"/>
      <w:lvlText w:val="o"/>
      <w:lvlJc w:val="left"/>
      <w:pPr>
        <w:ind w:left="2490" w:hanging="360"/>
      </w:pPr>
      <w:rPr>
        <w:rFonts w:ascii="Courier New" w:hAnsi="Courier New" w:cs="Courier New" w:hint="default"/>
      </w:rPr>
    </w:lvl>
    <w:lvl w:ilvl="2" w:tplc="2C0A0005" w:tentative="1">
      <w:start w:val="1"/>
      <w:numFmt w:val="bullet"/>
      <w:lvlText w:val=""/>
      <w:lvlJc w:val="left"/>
      <w:pPr>
        <w:ind w:left="3210" w:hanging="360"/>
      </w:pPr>
      <w:rPr>
        <w:rFonts w:ascii="Wingdings" w:hAnsi="Wingdings" w:hint="default"/>
      </w:rPr>
    </w:lvl>
    <w:lvl w:ilvl="3" w:tplc="2C0A0001" w:tentative="1">
      <w:start w:val="1"/>
      <w:numFmt w:val="bullet"/>
      <w:lvlText w:val=""/>
      <w:lvlJc w:val="left"/>
      <w:pPr>
        <w:ind w:left="3930" w:hanging="360"/>
      </w:pPr>
      <w:rPr>
        <w:rFonts w:ascii="Symbol" w:hAnsi="Symbol" w:hint="default"/>
      </w:rPr>
    </w:lvl>
    <w:lvl w:ilvl="4" w:tplc="2C0A0003" w:tentative="1">
      <w:start w:val="1"/>
      <w:numFmt w:val="bullet"/>
      <w:lvlText w:val="o"/>
      <w:lvlJc w:val="left"/>
      <w:pPr>
        <w:ind w:left="4650" w:hanging="360"/>
      </w:pPr>
      <w:rPr>
        <w:rFonts w:ascii="Courier New" w:hAnsi="Courier New" w:cs="Courier New" w:hint="default"/>
      </w:rPr>
    </w:lvl>
    <w:lvl w:ilvl="5" w:tplc="2C0A0005" w:tentative="1">
      <w:start w:val="1"/>
      <w:numFmt w:val="bullet"/>
      <w:lvlText w:val=""/>
      <w:lvlJc w:val="left"/>
      <w:pPr>
        <w:ind w:left="5370" w:hanging="360"/>
      </w:pPr>
      <w:rPr>
        <w:rFonts w:ascii="Wingdings" w:hAnsi="Wingdings" w:hint="default"/>
      </w:rPr>
    </w:lvl>
    <w:lvl w:ilvl="6" w:tplc="2C0A0001" w:tentative="1">
      <w:start w:val="1"/>
      <w:numFmt w:val="bullet"/>
      <w:lvlText w:val=""/>
      <w:lvlJc w:val="left"/>
      <w:pPr>
        <w:ind w:left="6090" w:hanging="360"/>
      </w:pPr>
      <w:rPr>
        <w:rFonts w:ascii="Symbol" w:hAnsi="Symbol" w:hint="default"/>
      </w:rPr>
    </w:lvl>
    <w:lvl w:ilvl="7" w:tplc="2C0A0003" w:tentative="1">
      <w:start w:val="1"/>
      <w:numFmt w:val="bullet"/>
      <w:lvlText w:val="o"/>
      <w:lvlJc w:val="left"/>
      <w:pPr>
        <w:ind w:left="6810" w:hanging="360"/>
      </w:pPr>
      <w:rPr>
        <w:rFonts w:ascii="Courier New" w:hAnsi="Courier New" w:cs="Courier New" w:hint="default"/>
      </w:rPr>
    </w:lvl>
    <w:lvl w:ilvl="8" w:tplc="2C0A0005" w:tentative="1">
      <w:start w:val="1"/>
      <w:numFmt w:val="bullet"/>
      <w:lvlText w:val=""/>
      <w:lvlJc w:val="left"/>
      <w:pPr>
        <w:ind w:left="7530" w:hanging="360"/>
      </w:pPr>
      <w:rPr>
        <w:rFonts w:ascii="Wingdings" w:hAnsi="Wingdings" w:hint="default"/>
      </w:rPr>
    </w:lvl>
  </w:abstractNum>
  <w:abstractNum w:abstractNumId="1">
    <w:nsid w:val="033124E2"/>
    <w:multiLevelType w:val="multilevel"/>
    <w:tmpl w:val="4E3A6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8A41DD"/>
    <w:multiLevelType w:val="hybridMultilevel"/>
    <w:tmpl w:val="F06C1A5A"/>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AFB55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C727A3E"/>
    <w:multiLevelType w:val="hybridMultilevel"/>
    <w:tmpl w:val="D278EE1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E044201"/>
    <w:multiLevelType w:val="hybridMultilevel"/>
    <w:tmpl w:val="CC3E0A14"/>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F4E7E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1A13723"/>
    <w:multiLevelType w:val="hybridMultilevel"/>
    <w:tmpl w:val="EE54CC1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3577440B"/>
    <w:multiLevelType w:val="hybridMultilevel"/>
    <w:tmpl w:val="3CB0ADD6"/>
    <w:lvl w:ilvl="0" w:tplc="D908AACE">
      <w:numFmt w:val="bullet"/>
      <w:lvlText w:val=""/>
      <w:lvlJc w:val="left"/>
      <w:pPr>
        <w:ind w:left="750" w:hanging="39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6E522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91D5E90"/>
    <w:multiLevelType w:val="hybridMultilevel"/>
    <w:tmpl w:val="0D7804A6"/>
    <w:lvl w:ilvl="0" w:tplc="2C0A000F">
      <w:start w:val="1"/>
      <w:numFmt w:val="decimal"/>
      <w:lvlText w:val="%1."/>
      <w:lvlJc w:val="left"/>
      <w:pPr>
        <w:ind w:left="720" w:hanging="360"/>
      </w:pPr>
    </w:lvl>
    <w:lvl w:ilvl="1" w:tplc="2C0A000D">
      <w:start w:val="1"/>
      <w:numFmt w:val="bullet"/>
      <w:lvlText w:val=""/>
      <w:lvlJc w:val="left"/>
      <w:pPr>
        <w:ind w:left="1440" w:hanging="360"/>
      </w:pPr>
      <w:rPr>
        <w:rFonts w:ascii="Wingdings" w:hAnsi="Wingding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3D0B0CD2"/>
    <w:multiLevelType w:val="hybridMultilevel"/>
    <w:tmpl w:val="D59C677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3D3A1C88"/>
    <w:multiLevelType w:val="hybridMultilevel"/>
    <w:tmpl w:val="A836BBE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3E630FF8"/>
    <w:multiLevelType w:val="hybridMultilevel"/>
    <w:tmpl w:val="A8CC216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3FDE6650"/>
    <w:multiLevelType w:val="hybridMultilevel"/>
    <w:tmpl w:val="A756F74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44E1283B"/>
    <w:multiLevelType w:val="hybridMultilevel"/>
    <w:tmpl w:val="66BC977A"/>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747380D"/>
    <w:multiLevelType w:val="hybridMultilevel"/>
    <w:tmpl w:val="5B5C5E58"/>
    <w:lvl w:ilvl="0" w:tplc="C08AE3C4">
      <w:numFmt w:val="bullet"/>
      <w:lvlText w:val=""/>
      <w:lvlJc w:val="left"/>
      <w:pPr>
        <w:ind w:left="765" w:hanging="405"/>
      </w:pPr>
      <w:rPr>
        <w:rFonts w:ascii="Symbol" w:eastAsiaTheme="minorHAnsi" w:hAnsi="Symbol" w:cs="Times New Roman" w:hint="default"/>
        <w:sz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4BAC4592"/>
    <w:multiLevelType w:val="hybridMultilevel"/>
    <w:tmpl w:val="57860804"/>
    <w:lvl w:ilvl="0" w:tplc="2C0A000F">
      <w:start w:val="1"/>
      <w:numFmt w:val="decimal"/>
      <w:lvlText w:val="%1."/>
      <w:lvlJc w:val="left"/>
      <w:pPr>
        <w:ind w:left="720" w:hanging="360"/>
      </w:pPr>
    </w:lvl>
    <w:lvl w:ilvl="1" w:tplc="D908AACE">
      <w:numFmt w:val="bullet"/>
      <w:lvlText w:val=""/>
      <w:lvlJc w:val="left"/>
      <w:pPr>
        <w:ind w:left="1440" w:hanging="360"/>
      </w:pPr>
      <w:rPr>
        <w:rFonts w:ascii="Symbol" w:eastAsiaTheme="minorHAnsi" w:hAnsi="Symbol" w:cstheme="minorBidi"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5A8C042C"/>
    <w:multiLevelType w:val="hybridMultilevel"/>
    <w:tmpl w:val="6E064914"/>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5DFB31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1A24720"/>
    <w:multiLevelType w:val="hybridMultilevel"/>
    <w:tmpl w:val="C5AC0AA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6EAC0233"/>
    <w:multiLevelType w:val="hybridMultilevel"/>
    <w:tmpl w:val="ADC845B2"/>
    <w:lvl w:ilvl="0" w:tplc="A1EEC29E">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759771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8DB3A9A"/>
    <w:multiLevelType w:val="hybridMultilevel"/>
    <w:tmpl w:val="3EDA80A8"/>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4">
    <w:nsid w:val="7D4757F7"/>
    <w:multiLevelType w:val="hybridMultilevel"/>
    <w:tmpl w:val="C1A8EF02"/>
    <w:lvl w:ilvl="0" w:tplc="2C0A000F">
      <w:start w:val="1"/>
      <w:numFmt w:val="decimal"/>
      <w:lvlText w:val="%1."/>
      <w:lvlJc w:val="left"/>
      <w:pPr>
        <w:ind w:left="720" w:hanging="360"/>
      </w:pPr>
    </w:lvl>
    <w:lvl w:ilvl="1" w:tplc="2C0A0019">
      <w:start w:val="1"/>
      <w:numFmt w:val="lowerLetter"/>
      <w:lvlText w:val="%2."/>
      <w:lvlJc w:val="left"/>
      <w:pPr>
        <w:ind w:left="36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1"/>
  </w:num>
  <w:num w:numId="2">
    <w:abstractNumId w:val="21"/>
  </w:num>
  <w:num w:numId="3">
    <w:abstractNumId w:val="7"/>
  </w:num>
  <w:num w:numId="4">
    <w:abstractNumId w:val="20"/>
  </w:num>
  <w:num w:numId="5">
    <w:abstractNumId w:val="15"/>
  </w:num>
  <w:num w:numId="6">
    <w:abstractNumId w:val="18"/>
  </w:num>
  <w:num w:numId="7">
    <w:abstractNumId w:val="13"/>
  </w:num>
  <w:num w:numId="8">
    <w:abstractNumId w:val="12"/>
  </w:num>
  <w:num w:numId="9">
    <w:abstractNumId w:val="5"/>
  </w:num>
  <w:num w:numId="10">
    <w:abstractNumId w:val="4"/>
  </w:num>
  <w:num w:numId="11">
    <w:abstractNumId w:val="16"/>
  </w:num>
  <w:num w:numId="12">
    <w:abstractNumId w:val="14"/>
  </w:num>
  <w:num w:numId="13">
    <w:abstractNumId w:val="0"/>
  </w:num>
  <w:num w:numId="14">
    <w:abstractNumId w:val="2"/>
  </w:num>
  <w:num w:numId="15">
    <w:abstractNumId w:val="8"/>
  </w:num>
  <w:num w:numId="16">
    <w:abstractNumId w:val="17"/>
  </w:num>
  <w:num w:numId="17">
    <w:abstractNumId w:val="10"/>
  </w:num>
  <w:num w:numId="18">
    <w:abstractNumId w:val="2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9"/>
  </w:num>
  <w:num w:numId="22">
    <w:abstractNumId w:val="19"/>
  </w:num>
  <w:num w:numId="23">
    <w:abstractNumId w:val="6"/>
  </w:num>
  <w:num w:numId="24">
    <w:abstractNumId w:val="22"/>
  </w:num>
  <w:num w:numId="25">
    <w:abstractNumId w:val="23"/>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383B66"/>
    <w:rsid w:val="00022B09"/>
    <w:rsid w:val="000338B5"/>
    <w:rsid w:val="0004758C"/>
    <w:rsid w:val="00047DB6"/>
    <w:rsid w:val="000571C1"/>
    <w:rsid w:val="0006224D"/>
    <w:rsid w:val="000704B5"/>
    <w:rsid w:val="000A4745"/>
    <w:rsid w:val="000A5ECA"/>
    <w:rsid w:val="000B456B"/>
    <w:rsid w:val="000C20EF"/>
    <w:rsid w:val="00110853"/>
    <w:rsid w:val="00114219"/>
    <w:rsid w:val="00133EED"/>
    <w:rsid w:val="00140C21"/>
    <w:rsid w:val="00155C41"/>
    <w:rsid w:val="001B3143"/>
    <w:rsid w:val="001B46DD"/>
    <w:rsid w:val="001D0E47"/>
    <w:rsid w:val="001D1EC0"/>
    <w:rsid w:val="001D6E22"/>
    <w:rsid w:val="00270325"/>
    <w:rsid w:val="002A573F"/>
    <w:rsid w:val="002A64C0"/>
    <w:rsid w:val="002B246E"/>
    <w:rsid w:val="002B4D5B"/>
    <w:rsid w:val="002B6183"/>
    <w:rsid w:val="002C24FF"/>
    <w:rsid w:val="002C6FB7"/>
    <w:rsid w:val="00301748"/>
    <w:rsid w:val="003074A8"/>
    <w:rsid w:val="0031134D"/>
    <w:rsid w:val="0032632A"/>
    <w:rsid w:val="00351044"/>
    <w:rsid w:val="00383B66"/>
    <w:rsid w:val="003D00B3"/>
    <w:rsid w:val="003E6D7D"/>
    <w:rsid w:val="0043686A"/>
    <w:rsid w:val="004430CB"/>
    <w:rsid w:val="004664B7"/>
    <w:rsid w:val="00475160"/>
    <w:rsid w:val="00496EDA"/>
    <w:rsid w:val="004A076C"/>
    <w:rsid w:val="004A5C1C"/>
    <w:rsid w:val="004D31B1"/>
    <w:rsid w:val="00502411"/>
    <w:rsid w:val="00506EC5"/>
    <w:rsid w:val="0053396E"/>
    <w:rsid w:val="00573CCE"/>
    <w:rsid w:val="00580A8E"/>
    <w:rsid w:val="005967B2"/>
    <w:rsid w:val="0059697F"/>
    <w:rsid w:val="005F2A44"/>
    <w:rsid w:val="005F3BBA"/>
    <w:rsid w:val="00613CB1"/>
    <w:rsid w:val="00643AB9"/>
    <w:rsid w:val="00695C08"/>
    <w:rsid w:val="006A0455"/>
    <w:rsid w:val="006A1F9B"/>
    <w:rsid w:val="006B1A24"/>
    <w:rsid w:val="006B5243"/>
    <w:rsid w:val="006C10A0"/>
    <w:rsid w:val="006F2CCB"/>
    <w:rsid w:val="00715C95"/>
    <w:rsid w:val="007A43D5"/>
    <w:rsid w:val="007B5322"/>
    <w:rsid w:val="007D11AA"/>
    <w:rsid w:val="007E7DFA"/>
    <w:rsid w:val="00800A2B"/>
    <w:rsid w:val="00807FB5"/>
    <w:rsid w:val="008323AE"/>
    <w:rsid w:val="008447F6"/>
    <w:rsid w:val="00856319"/>
    <w:rsid w:val="00885F25"/>
    <w:rsid w:val="0089637C"/>
    <w:rsid w:val="008A30E3"/>
    <w:rsid w:val="008F489B"/>
    <w:rsid w:val="00912E39"/>
    <w:rsid w:val="009150D6"/>
    <w:rsid w:val="00920A85"/>
    <w:rsid w:val="00921891"/>
    <w:rsid w:val="00933A53"/>
    <w:rsid w:val="0095202E"/>
    <w:rsid w:val="009545EE"/>
    <w:rsid w:val="00964687"/>
    <w:rsid w:val="00976AC4"/>
    <w:rsid w:val="009975BC"/>
    <w:rsid w:val="009B3805"/>
    <w:rsid w:val="009C1EE3"/>
    <w:rsid w:val="009D2830"/>
    <w:rsid w:val="009D4E9A"/>
    <w:rsid w:val="00A00C4B"/>
    <w:rsid w:val="00A03842"/>
    <w:rsid w:val="00A0466D"/>
    <w:rsid w:val="00A23CC3"/>
    <w:rsid w:val="00A27BD9"/>
    <w:rsid w:val="00A53AAD"/>
    <w:rsid w:val="00A63DE2"/>
    <w:rsid w:val="00A643D9"/>
    <w:rsid w:val="00A8052F"/>
    <w:rsid w:val="00AA7D60"/>
    <w:rsid w:val="00AB0630"/>
    <w:rsid w:val="00AB39A3"/>
    <w:rsid w:val="00AB7538"/>
    <w:rsid w:val="00AC13C5"/>
    <w:rsid w:val="00AC449A"/>
    <w:rsid w:val="00AD7470"/>
    <w:rsid w:val="00AE07FA"/>
    <w:rsid w:val="00AF4BDE"/>
    <w:rsid w:val="00B21310"/>
    <w:rsid w:val="00B4220F"/>
    <w:rsid w:val="00B518F8"/>
    <w:rsid w:val="00B67F84"/>
    <w:rsid w:val="00BE17DC"/>
    <w:rsid w:val="00BF312F"/>
    <w:rsid w:val="00BF4EB8"/>
    <w:rsid w:val="00C254FD"/>
    <w:rsid w:val="00C37671"/>
    <w:rsid w:val="00C44C5A"/>
    <w:rsid w:val="00C8308F"/>
    <w:rsid w:val="00CB5D2D"/>
    <w:rsid w:val="00CF3635"/>
    <w:rsid w:val="00D4580C"/>
    <w:rsid w:val="00D635B4"/>
    <w:rsid w:val="00DD6AF9"/>
    <w:rsid w:val="00DE4AF5"/>
    <w:rsid w:val="00DE5898"/>
    <w:rsid w:val="00DE5A1E"/>
    <w:rsid w:val="00DF1026"/>
    <w:rsid w:val="00E02A69"/>
    <w:rsid w:val="00E11D24"/>
    <w:rsid w:val="00E22F1C"/>
    <w:rsid w:val="00E25C23"/>
    <w:rsid w:val="00E82CA0"/>
    <w:rsid w:val="00EB2889"/>
    <w:rsid w:val="00EC4296"/>
    <w:rsid w:val="00ED4532"/>
    <w:rsid w:val="00ED6526"/>
    <w:rsid w:val="00ED6812"/>
    <w:rsid w:val="00EF4854"/>
    <w:rsid w:val="00EF529A"/>
    <w:rsid w:val="00F10D0B"/>
    <w:rsid w:val="00F708A8"/>
    <w:rsid w:val="00F7657C"/>
    <w:rsid w:val="00F966F3"/>
    <w:rsid w:val="00FA3085"/>
    <w:rsid w:val="00FA7D47"/>
    <w:rsid w:val="00FB44B4"/>
    <w:rsid w:val="00FC457A"/>
  </w:rsids>
  <m:mathPr>
    <m:mathFont m:val="Cambria Math"/>
    <m:brkBin m:val="before"/>
    <m:brkBinSub m:val="--"/>
    <m:smallFrac m:val="off"/>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8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23AE"/>
    <w:pPr>
      <w:ind w:left="720"/>
      <w:contextualSpacing/>
    </w:pPr>
  </w:style>
  <w:style w:type="character" w:styleId="Hipervnculo">
    <w:name w:val="Hyperlink"/>
    <w:basedOn w:val="Fuentedeprrafopredeter"/>
    <w:uiPriority w:val="99"/>
    <w:unhideWhenUsed/>
    <w:rsid w:val="00475160"/>
    <w:rPr>
      <w:color w:val="0563C1" w:themeColor="hyperlink"/>
      <w:u w:val="single"/>
    </w:rPr>
  </w:style>
  <w:style w:type="character" w:customStyle="1" w:styleId="Mention">
    <w:name w:val="Mention"/>
    <w:basedOn w:val="Fuentedeprrafopredeter"/>
    <w:uiPriority w:val="99"/>
    <w:semiHidden/>
    <w:unhideWhenUsed/>
    <w:rsid w:val="00475160"/>
    <w:rPr>
      <w:color w:val="2B579A"/>
      <w:shd w:val="clear" w:color="auto" w:fill="E6E6E6"/>
    </w:rPr>
  </w:style>
  <w:style w:type="paragraph" w:styleId="Encabezado">
    <w:name w:val="header"/>
    <w:basedOn w:val="Normal"/>
    <w:link w:val="EncabezadoCar"/>
    <w:uiPriority w:val="99"/>
    <w:unhideWhenUsed/>
    <w:rsid w:val="00A038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3842"/>
  </w:style>
  <w:style w:type="paragraph" w:styleId="Piedepgina">
    <w:name w:val="footer"/>
    <w:basedOn w:val="Normal"/>
    <w:link w:val="PiedepginaCar"/>
    <w:uiPriority w:val="99"/>
    <w:unhideWhenUsed/>
    <w:rsid w:val="00A038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3842"/>
  </w:style>
  <w:style w:type="paragraph" w:styleId="Textodeglobo">
    <w:name w:val="Balloon Text"/>
    <w:basedOn w:val="Normal"/>
    <w:link w:val="TextodegloboCar"/>
    <w:uiPriority w:val="99"/>
    <w:semiHidden/>
    <w:unhideWhenUsed/>
    <w:rsid w:val="00AF4B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BDE"/>
    <w:rPr>
      <w:rFonts w:ascii="Tahoma" w:hAnsi="Tahoma" w:cs="Tahoma"/>
      <w:sz w:val="16"/>
      <w:szCs w:val="16"/>
    </w:rPr>
  </w:style>
  <w:style w:type="paragraph" w:styleId="Sinespaciado">
    <w:name w:val="No Spacing"/>
    <w:link w:val="SinespaciadoCar"/>
    <w:uiPriority w:val="1"/>
    <w:qFormat/>
    <w:rsid w:val="008447F6"/>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8447F6"/>
    <w:rPr>
      <w:rFonts w:eastAsiaTheme="minorEastAsia"/>
      <w:lang w:val="es-ES"/>
    </w:rPr>
  </w:style>
  <w:style w:type="paragraph" w:customStyle="1" w:styleId="m-372616459025569858msolistparagraph">
    <w:name w:val="m_-372616459025569858msolistparagraph"/>
    <w:basedOn w:val="Normal"/>
    <w:rsid w:val="00856319"/>
    <w:pPr>
      <w:spacing w:before="100" w:beforeAutospacing="1" w:after="100" w:afterAutospacing="1" w:line="240" w:lineRule="auto"/>
    </w:pPr>
    <w:rPr>
      <w:rFonts w:ascii="Times New Roman" w:hAnsi="Times New Roman" w:cs="Times New Roman"/>
      <w:sz w:val="24"/>
      <w:szCs w:val="24"/>
      <w:lang w:eastAsia="es-AR"/>
    </w:rPr>
  </w:style>
  <w:style w:type="paragraph" w:styleId="NormalWeb">
    <w:name w:val="Normal (Web)"/>
    <w:basedOn w:val="Normal"/>
    <w:uiPriority w:val="99"/>
    <w:unhideWhenUsed/>
    <w:rsid w:val="006A0455"/>
    <w:pPr>
      <w:spacing w:before="100" w:beforeAutospacing="1" w:after="100" w:afterAutospacing="1" w:line="240" w:lineRule="auto"/>
    </w:pPr>
    <w:rPr>
      <w:rFonts w:ascii="Times" w:hAnsi="Times" w:cs="Times New Roman"/>
      <w:sz w:val="20"/>
      <w:szCs w:val="20"/>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3AE"/>
    <w:pPr>
      <w:ind w:left="720"/>
      <w:contextualSpacing/>
    </w:pPr>
  </w:style>
  <w:style w:type="character" w:styleId="Hyperlink">
    <w:name w:val="Hyperlink"/>
    <w:basedOn w:val="DefaultParagraphFont"/>
    <w:uiPriority w:val="99"/>
    <w:unhideWhenUsed/>
    <w:rsid w:val="00475160"/>
    <w:rPr>
      <w:color w:val="0563C1" w:themeColor="hyperlink"/>
      <w:u w:val="single"/>
    </w:rPr>
  </w:style>
  <w:style w:type="character" w:customStyle="1" w:styleId="Mention">
    <w:name w:val="Mention"/>
    <w:basedOn w:val="DefaultParagraphFont"/>
    <w:uiPriority w:val="99"/>
    <w:semiHidden/>
    <w:unhideWhenUsed/>
    <w:rsid w:val="00475160"/>
    <w:rPr>
      <w:color w:val="2B579A"/>
      <w:shd w:val="clear" w:color="auto" w:fill="E6E6E6"/>
    </w:rPr>
  </w:style>
  <w:style w:type="paragraph" w:styleId="Header">
    <w:name w:val="header"/>
    <w:basedOn w:val="Normal"/>
    <w:link w:val="HeaderChar"/>
    <w:uiPriority w:val="99"/>
    <w:unhideWhenUsed/>
    <w:rsid w:val="00A03842"/>
    <w:pPr>
      <w:tabs>
        <w:tab w:val="center" w:pos="4252"/>
        <w:tab w:val="right" w:pos="8504"/>
      </w:tabs>
      <w:spacing w:after="0" w:line="240" w:lineRule="auto"/>
    </w:pPr>
  </w:style>
  <w:style w:type="character" w:customStyle="1" w:styleId="HeaderChar">
    <w:name w:val="Header Char"/>
    <w:basedOn w:val="DefaultParagraphFont"/>
    <w:link w:val="Header"/>
    <w:uiPriority w:val="99"/>
    <w:rsid w:val="00A03842"/>
  </w:style>
  <w:style w:type="paragraph" w:styleId="Footer">
    <w:name w:val="footer"/>
    <w:basedOn w:val="Normal"/>
    <w:link w:val="FooterChar"/>
    <w:uiPriority w:val="99"/>
    <w:unhideWhenUsed/>
    <w:rsid w:val="00A03842"/>
    <w:pPr>
      <w:tabs>
        <w:tab w:val="center" w:pos="4252"/>
        <w:tab w:val="right" w:pos="8504"/>
      </w:tabs>
      <w:spacing w:after="0" w:line="240" w:lineRule="auto"/>
    </w:pPr>
  </w:style>
  <w:style w:type="character" w:customStyle="1" w:styleId="FooterChar">
    <w:name w:val="Footer Char"/>
    <w:basedOn w:val="DefaultParagraphFont"/>
    <w:link w:val="Footer"/>
    <w:uiPriority w:val="99"/>
    <w:rsid w:val="00A03842"/>
  </w:style>
  <w:style w:type="paragraph" w:styleId="BalloonText">
    <w:name w:val="Balloon Text"/>
    <w:basedOn w:val="Normal"/>
    <w:link w:val="BalloonTextChar"/>
    <w:uiPriority w:val="99"/>
    <w:semiHidden/>
    <w:unhideWhenUsed/>
    <w:rsid w:val="00AF4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BDE"/>
    <w:rPr>
      <w:rFonts w:ascii="Tahoma" w:hAnsi="Tahoma" w:cs="Tahoma"/>
      <w:sz w:val="16"/>
      <w:szCs w:val="16"/>
    </w:rPr>
  </w:style>
  <w:style w:type="paragraph" w:styleId="NoSpacing">
    <w:name w:val="No Spacing"/>
    <w:link w:val="NoSpacingChar"/>
    <w:uiPriority w:val="1"/>
    <w:qFormat/>
    <w:rsid w:val="008447F6"/>
    <w:pPr>
      <w:spacing w:after="0" w:line="240" w:lineRule="auto"/>
    </w:pPr>
    <w:rPr>
      <w:rFonts w:eastAsiaTheme="minorEastAsia"/>
      <w:lang w:val="es-ES"/>
    </w:rPr>
  </w:style>
  <w:style w:type="character" w:customStyle="1" w:styleId="NoSpacingChar">
    <w:name w:val="No Spacing Char"/>
    <w:basedOn w:val="DefaultParagraphFont"/>
    <w:link w:val="NoSpacing"/>
    <w:uiPriority w:val="1"/>
    <w:rsid w:val="008447F6"/>
    <w:rPr>
      <w:rFonts w:eastAsiaTheme="minorEastAsia"/>
      <w:lang w:val="es-ES"/>
    </w:rPr>
  </w:style>
  <w:style w:type="paragraph" w:customStyle="1" w:styleId="m-372616459025569858msolistparagraph">
    <w:name w:val="m_-372616459025569858msolistparagraph"/>
    <w:basedOn w:val="Normal"/>
    <w:rsid w:val="00856319"/>
    <w:pPr>
      <w:spacing w:before="100" w:beforeAutospacing="1" w:after="100" w:afterAutospacing="1" w:line="240" w:lineRule="auto"/>
    </w:pPr>
    <w:rPr>
      <w:rFonts w:ascii="Times New Roman" w:hAnsi="Times New Roman" w:cs="Times New Roman"/>
      <w:sz w:val="24"/>
      <w:szCs w:val="24"/>
      <w:lang w:eastAsia="es-AR"/>
    </w:rPr>
  </w:style>
  <w:style w:type="paragraph" w:styleId="NormalWeb">
    <w:name w:val="Normal (Web)"/>
    <w:basedOn w:val="Normal"/>
    <w:uiPriority w:val="99"/>
    <w:unhideWhenUsed/>
    <w:rsid w:val="006A0455"/>
    <w:pPr>
      <w:spacing w:before="100" w:beforeAutospacing="1" w:after="100" w:afterAutospacing="1" w:line="240" w:lineRule="auto"/>
    </w:pPr>
    <w:rPr>
      <w:rFonts w:ascii="Times" w:hAnsi="Times" w:cs="Times New Roman"/>
      <w:sz w:val="20"/>
      <w:szCs w:val="20"/>
      <w:lang w:val="es-ES_tradnl"/>
    </w:rPr>
  </w:style>
</w:styles>
</file>

<file path=word/webSettings.xml><?xml version="1.0" encoding="utf-8"?>
<w:webSettings xmlns:r="http://schemas.openxmlformats.org/officeDocument/2006/relationships" xmlns:w="http://schemas.openxmlformats.org/wordprocessingml/2006/main">
  <w:divs>
    <w:div w:id="467237844">
      <w:bodyDiv w:val="1"/>
      <w:marLeft w:val="0"/>
      <w:marRight w:val="0"/>
      <w:marTop w:val="0"/>
      <w:marBottom w:val="0"/>
      <w:divBdr>
        <w:top w:val="none" w:sz="0" w:space="0" w:color="auto"/>
        <w:left w:val="none" w:sz="0" w:space="0" w:color="auto"/>
        <w:bottom w:val="none" w:sz="0" w:space="0" w:color="auto"/>
        <w:right w:val="none" w:sz="0" w:space="0" w:color="auto"/>
      </w:divBdr>
    </w:div>
    <w:div w:id="969483363">
      <w:bodyDiv w:val="1"/>
      <w:marLeft w:val="0"/>
      <w:marRight w:val="0"/>
      <w:marTop w:val="0"/>
      <w:marBottom w:val="0"/>
      <w:divBdr>
        <w:top w:val="none" w:sz="0" w:space="0" w:color="auto"/>
        <w:left w:val="none" w:sz="0" w:space="0" w:color="auto"/>
        <w:bottom w:val="none" w:sz="0" w:space="0" w:color="auto"/>
        <w:right w:val="none" w:sz="0" w:space="0" w:color="auto"/>
      </w:divBdr>
    </w:div>
    <w:div w:id="1674069771">
      <w:bodyDiv w:val="1"/>
      <w:marLeft w:val="0"/>
      <w:marRight w:val="0"/>
      <w:marTop w:val="0"/>
      <w:marBottom w:val="0"/>
      <w:divBdr>
        <w:top w:val="none" w:sz="0" w:space="0" w:color="auto"/>
        <w:left w:val="none" w:sz="0" w:space="0" w:color="auto"/>
        <w:bottom w:val="none" w:sz="0" w:space="0" w:color="auto"/>
        <w:right w:val="none" w:sz="0" w:space="0" w:color="auto"/>
      </w:divBdr>
    </w:div>
    <w:div w:id="1745102862">
      <w:bodyDiv w:val="1"/>
      <w:marLeft w:val="0"/>
      <w:marRight w:val="0"/>
      <w:marTop w:val="0"/>
      <w:marBottom w:val="0"/>
      <w:divBdr>
        <w:top w:val="none" w:sz="0" w:space="0" w:color="auto"/>
        <w:left w:val="none" w:sz="0" w:space="0" w:color="auto"/>
        <w:bottom w:val="none" w:sz="0" w:space="0" w:color="auto"/>
        <w:right w:val="none" w:sz="0" w:space="0" w:color="auto"/>
      </w:divBdr>
    </w:div>
    <w:div w:id="2053266168">
      <w:bodyDiv w:val="1"/>
      <w:marLeft w:val="0"/>
      <w:marRight w:val="0"/>
      <w:marTop w:val="0"/>
      <w:marBottom w:val="0"/>
      <w:divBdr>
        <w:top w:val="none" w:sz="0" w:space="0" w:color="auto"/>
        <w:left w:val="none" w:sz="0" w:space="0" w:color="auto"/>
        <w:bottom w:val="none" w:sz="0" w:space="0" w:color="auto"/>
        <w:right w:val="none" w:sz="0" w:space="0" w:color="auto"/>
      </w:divBdr>
    </w:div>
    <w:div w:id="208221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ipb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F1119-3B61-48D5-9219-EF48CAE5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493</Words>
  <Characters>2715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Alvarez</dc:creator>
  <cp:lastModifiedBy>nelicabe</cp:lastModifiedBy>
  <cp:revision>4</cp:revision>
  <cp:lastPrinted>2018-03-16T17:59:00Z</cp:lastPrinted>
  <dcterms:created xsi:type="dcterms:W3CDTF">2018-03-16T17:55:00Z</dcterms:created>
  <dcterms:modified xsi:type="dcterms:W3CDTF">2018-03-20T16:09:00Z</dcterms:modified>
</cp:coreProperties>
</file>